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252</w:t>
      </w:r>
    </w:p>
    <w:p>
      <w:r>
        <w:t>Bundesgericht (BGE), 1993-09-24, DE</w:t>
      </w:r>
    </w:p>
    <w:p>
      <w:r>
        <w:rPr>
          <w:b/>
        </w:rPr>
        <w:t xml:space="preserve">Quelle: </w:t>
      </w:r>
      <w:r>
        <w:t>https://mcp.opencaselaw.ch/entscheid/bge_120 IV 252</w:t>
      </w:r>
    </w:p>
    <w:p>
      <w:r>
        <w:t>FR: ATF 120 IV 252</w:t>
      </w:r>
    </w:p>
    <w:p>
      <w:r>
        <w:t>IT: DTF 120 IV 252</w:t>
      </w:r>
    </w:p>
    <w:p>
      <w:pPr>
        <w:pStyle w:val="Heading2"/>
      </w:pPr>
      <w:r>
        <w:t>Regeste</w:t>
      </w:r>
    </w:p>
    <w:p>
      <w:r>
        <w:t>Regeste Art. 36 Abs. 2 u. 4, Art. 26 Abs. 1 SVG; Nichtgewähren des Vortritts, Vertrauensgrundsatz. Hängt die Beantwortung der Frage, ob ein Verkehrsteilnehmer eine Verkehrsregel verletzt hat, davon ab, ob und inwieweit er sich auf das verkehrsgerechte Verhalten eines anderen Verkehrsteilnehmers verlassen durfte, darf ihm die Berufung auf den Vertrauensgrundsatz nicht mit der Begründung abgeschnitten werden, er habe sich nicht verkehrskonform verhalten (Präzisierung der Rechtsprechung). Auch der Wartepflichtige kann sich auf das Vertrauensprinzip berufen, wenn sich der Vortrittsberechtigte in einer für den Wartepflichtigen nicht vorhersehbaren Weise verkehrswidrig verhält (Bestätigung der Rechtsprechung).</w:t>
      </w:r>
    </w:p>
    <w:p>
      <w:pPr>
        <w:pStyle w:val="Heading2"/>
      </w:pPr>
      <w:r>
        <w:t>Erwägungen</w:t>
      </w:r>
    </w:p>
    <w:p>
      <w:r>
        <w:rPr>
          <w:b/>
        </w:rPr>
        <w:t>E. 2</w:t>
      </w:r>
    </w:p>
    <w:p>
      <w:r>
        <w:t>d) aa) Der Beschwerdeführer beruft sich sodann auf den Vertrauensgrundsatz. Nach diesem aus der Grundregel von Art. 26 Abs. 1 SVG abgeleiteten Grundsatz darf jeder Strassenbenützer, sofern nicht besondere BGE 120 IV 252 S. 254 Umstände dagegen sprechen, darauf vertrauen, dass sich die anderen Verkehrsteilnehmer ebenfalls ordnungsgemäss verhalten, ihn also nicht behindern oder gefährden ( BGE 118 IV 277 E. 4a mit weiteren Hinweisen).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 BGE 118 IV 277 E. 4a mit weiteren Hinweisen; SCHAFFHAUSER, a.a.O., S. 117 N. 312; VON WERRA, Du principe de la confiance dans le droit de la circulation routière ..., RVJ 1970, S. 200).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(vgl. auch unten E. bb). Das Vertrauensprinzip kann auch der Wartepflichtige anrufen. Erlaubt die Verkehrslage dem Wartepflichtigen das Einbiegen ohne Behinderung eines Vortrittsberechtigten, so ist ihm auch dann keine Vortrittsverletzung vorzuwerfen, wenn dadurch ein Vortrittsberechtigter in seiner Weiterfahrt behindert wird, weil dieser sich in einer für den Wartepflichtigen nicht vorhersehbaren Weise verkehrswidrig verhält. Im Interesse einer klaren Vortrittsregelung wird jedoch nicht leichthin anzunehmen sein, der Wartepflichtige habe nicht mit der Vorbeifahrt eines Vortrittsberechtigten bzw. mit dessen Behinderung rechnen müssen. Nach der Rechtsprechung darf nach dem Vertrauensprinzip der vortrittsbelastete Fahrzeuglenker, der in die Hauptstrasse einbiegen will, auf Hauptstrassen ausserorts davon ausgehen, dass keine Motorfahrzeuge mit einer 80 km/h erheblich überschreitenden Geschwindigkeit herannahen ( BGE 118 IV 277 E. 5b mit Hinweisen). bb) Die Vorinstanz nahm an, der Beschwerdeführer dürfe sich nicht auf den Vertrauensgrundsatz berufen, weil er sich selbst nicht verkehrsregelkonform verhalten habe. Wenn sie die Verkehrsregelverletzung indes u.a. damit begründet, den Beschwerdeführer könnte auch ein allfälliges Überschreiten der Höchstgeschwindigkeit des vortrittsberechtigten Fahrzeuglenkers X. BGE 120 IV 252 S. 255 nicht entlasten, erliegt sie wie dargelegt (E. aa) einem Zirkelschluss. Denn ob der Beschwerdeführer den Vortritt missachtete, lässt sich erst sagen, wenn feststeht, ob er sich auf den Vertrauensgrundsatz berufen kann, d.h. ob er darauf vertrauen durfte oder nicht, der Vortrittsberechtigte überschreite die zulässige Geschwindigkeit nicht. Etwas anderes ergibt sich auch nicht aus dem Satz, das Strafrecht kenne keine Schuldkompensation. Wo die strafrechtliche Verantwortlichkeit eines Verkehrsteilnehmers, wie beim Vertrauensgrundsatz, davon abhängt, ob sich ein anderer in einer Weise verkehrsregelwidrig verhalten hat, mit der nicht gerechnet werden musste, kann auch nicht mit der Begründung, eine Schuldkompensation sei ausgeschlossen, von der Prüfung der Frage abgesehen werden, ob sich der Andere verkehrsregelwidrig verhielt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